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Lines/>
        <w:jc w:val="center"/>
      </w:pPr>
      <w:r>
        <w:rPr>
          <w:rFonts w:ascii="Times New Roman" w:hAnsi="Times New Roman"/>
          <w:color w:val="000000"/>
        </w:rPr>
        <w:t>Договор подряда на ремонт квартиры</w:t>
      </w:r>
    </w:p>
    <w:p>
      <w:pPr>
        <w:pStyle w:val="Subtitle"/>
        <w:keepLines/>
        <w:jc w:val="center"/>
      </w:pPr>
      <w:r>
        <w:rPr>
          <w:rFonts w:ascii="Times New Roman" w:hAnsi="Times New Roman"/>
          <w:color w:val="000000"/>
        </w:rPr>
        <w:t>Образец договора на косметический ремонт</w:t>
      </w:r>
    </w:p>
    <w:p>
      <w:pPr>
        <w:keepLines/>
        <w:spacing w:after="60"/>
        <w:jc w:val="center"/>
      </w:pPr>
      <w:r>
        <w:rPr>
          <w:rFonts w:ascii="Times New Roman" w:hAnsi="Times New Roman"/>
          <w:color w:val="000000"/>
        </w:rPr>
        <w:t xml:space="preserve">№ </w:t>
      </w:r>
      <w:r>
        <w:rPr>
          <w:rFonts w:ascii="Times New Roman" w:hAnsi="Times New Roman"/>
          <w:b/>
          <w:color w:val="0055B8"/>
        </w:rPr>
        <w:t>01/РК</w:t>
      </w:r>
    </w:p>
    <w:p>
      <w:pPr>
        <w:keepLines/>
        <w:spacing w:after="60"/>
        <w:jc w:val="center"/>
      </w:pPr>
      <w:r>
        <w:rPr>
          <w:rFonts w:ascii="Times New Roman" w:hAnsi="Times New Roman"/>
          <w:color w:val="000000"/>
          <w:sz w:val="19"/>
        </w:rPr>
        <w:t>Синим жирным шрифтом выделены вымышленные данные и условные значения.</w:t>
      </w:r>
    </w:p>
    <w:p>
      <w:pPr>
        <w:tabs>
          <w:tab w:pos="10080" w:val="right"/>
        </w:tabs>
        <w:spacing w:before="120" w:after="160"/>
      </w:pPr>
      <w:r>
        <w:rPr>
          <w:rFonts w:ascii="Times New Roman" w:hAnsi="Times New Roman"/>
          <w:b/>
          <w:color w:val="0055B8"/>
        </w:rPr>
        <w:t>г. Москва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55B8"/>
        </w:rPr>
        <w:t>01.10.2026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Гражданин </w:t>
      </w:r>
      <w:r>
        <w:rPr>
          <w:rFonts w:ascii="Times New Roman" w:hAnsi="Times New Roman"/>
          <w:b/>
          <w:color w:val="0055B8"/>
        </w:rPr>
        <w:t>Иванов Иван Иванович</w:t>
      </w:r>
      <w:r>
        <w:rPr>
          <w:rFonts w:ascii="Times New Roman" w:hAnsi="Times New Roman"/>
          <w:color w:val="000000"/>
        </w:rPr>
        <w:t xml:space="preserve">, именуемый «Заказчик», и </w:t>
      </w:r>
      <w:r>
        <w:rPr>
          <w:rFonts w:ascii="Times New Roman" w:hAnsi="Times New Roman"/>
          <w:b/>
          <w:color w:val="0055B8"/>
        </w:rPr>
        <w:t>Общество с ограниченной ответственностью «Ромашка» (ООО «Ромашка»)</w:t>
      </w:r>
      <w:r>
        <w:rPr>
          <w:rFonts w:ascii="Times New Roman" w:hAnsi="Times New Roman"/>
          <w:color w:val="000000"/>
        </w:rPr>
        <w:t xml:space="preserve">, именуемое «Подрядчик», в лице генерального директора </w:t>
      </w:r>
      <w:r>
        <w:rPr>
          <w:rFonts w:ascii="Times New Roman" w:hAnsi="Times New Roman"/>
          <w:b/>
          <w:color w:val="0055B8"/>
        </w:rPr>
        <w:t>Петрова Петра Петровича</w:t>
      </w:r>
      <w:r>
        <w:rPr>
          <w:rFonts w:ascii="Times New Roman" w:hAnsi="Times New Roman"/>
          <w:color w:val="000000"/>
        </w:rPr>
        <w:t xml:space="preserve">, действующего на основании </w:t>
      </w:r>
      <w:r>
        <w:rPr>
          <w:rFonts w:ascii="Times New Roman" w:hAnsi="Times New Roman"/>
          <w:b/>
          <w:color w:val="0055B8"/>
        </w:rPr>
        <w:t>Устава</w:t>
      </w:r>
      <w:r>
        <w:rPr>
          <w:rFonts w:ascii="Times New Roman" w:hAnsi="Times New Roman"/>
          <w:color w:val="000000"/>
        </w:rPr>
        <w:t>, совместно именуемые «Стороны», заключили договор о следующем.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1 Предмет договора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1.1. Подрядчик обязуется выполнить </w:t>
      </w:r>
      <w:r>
        <w:rPr>
          <w:rFonts w:ascii="Times New Roman" w:hAnsi="Times New Roman"/>
          <w:b/>
          <w:color w:val="0055B8"/>
        </w:rPr>
        <w:t>косметический ремонт стен и потолков</w:t>
      </w:r>
      <w:r>
        <w:rPr>
          <w:rFonts w:ascii="Times New Roman" w:hAnsi="Times New Roman"/>
          <w:color w:val="000000"/>
        </w:rPr>
        <w:t xml:space="preserve"> квартиры по адресу: </w:t>
      </w:r>
      <w:r>
        <w:rPr>
          <w:rFonts w:ascii="Times New Roman" w:hAnsi="Times New Roman"/>
          <w:b/>
          <w:color w:val="0055B8"/>
        </w:rPr>
        <w:t>г. Москва, ул. Примерная, д. 1, кв. 10</w:t>
      </w:r>
      <w:r>
        <w:rPr>
          <w:rFonts w:ascii="Times New Roman" w:hAnsi="Times New Roman"/>
          <w:color w:val="000000"/>
        </w:rPr>
        <w:t xml:space="preserve">, общей площадью </w:t>
      </w:r>
      <w:r>
        <w:rPr>
          <w:rFonts w:ascii="Times New Roman" w:hAnsi="Times New Roman"/>
          <w:b/>
          <w:color w:val="0055B8"/>
        </w:rPr>
        <w:t>40 кв. м</w:t>
      </w:r>
      <w:r>
        <w:rPr>
          <w:rFonts w:ascii="Times New Roman" w:hAnsi="Times New Roman"/>
          <w:color w:val="000000"/>
        </w:rPr>
        <w:t>, а Заказчик — принять и оплатить результат. Работы предназначены для личных домашних нужд Заказчика.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1.2. Зона ремонта: </w:t>
      </w:r>
      <w:r>
        <w:rPr>
          <w:rFonts w:ascii="Times New Roman" w:hAnsi="Times New Roman"/>
          <w:b/>
          <w:color w:val="0055B8"/>
        </w:rPr>
        <w:t>жилая комната 20 кв. м, кухня 10 кв. м и прихожая 6 кв. м</w:t>
      </w:r>
      <w:r>
        <w:rPr>
          <w:rFonts w:ascii="Times New Roman" w:hAnsi="Times New Roman"/>
          <w:color w:val="000000"/>
        </w:rPr>
        <w:t xml:space="preserve">. Площадь отделываемых стен — </w:t>
      </w:r>
      <w:r>
        <w:rPr>
          <w:rFonts w:ascii="Times New Roman" w:hAnsi="Times New Roman"/>
          <w:b/>
          <w:color w:val="0055B8"/>
        </w:rPr>
        <w:t>90 кв. м</w:t>
      </w:r>
      <w:r>
        <w:rPr>
          <w:rFonts w:ascii="Times New Roman" w:hAnsi="Times New Roman"/>
          <w:color w:val="000000"/>
        </w:rPr>
        <w:t xml:space="preserve">, потолков — </w:t>
      </w:r>
      <w:r>
        <w:rPr>
          <w:rFonts w:ascii="Times New Roman" w:hAnsi="Times New Roman"/>
          <w:b/>
          <w:color w:val="0055B8"/>
        </w:rPr>
        <w:t>36 кв. м</w:t>
      </w:r>
      <w:r>
        <w:rPr>
          <w:rFonts w:ascii="Times New Roman" w:hAnsi="Times New Roman"/>
          <w:color w:val="000000"/>
        </w:rPr>
        <w:t>. Состав, объём и сроки работ определены разделом 2. Перепланировка, переустройство и работы с общим имуществом дома в согласованный объём не входят.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2 Перечень работ и календарный план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2.1. Заказ принят </w:t>
      </w:r>
      <w:r>
        <w:rPr>
          <w:rFonts w:ascii="Times New Roman" w:hAnsi="Times New Roman"/>
          <w:b/>
          <w:color w:val="0055B8"/>
        </w:rPr>
        <w:t>01.10.2026</w:t>
      </w:r>
      <w:r>
        <w:rPr>
          <w:rFonts w:ascii="Times New Roman" w:hAnsi="Times New Roman"/>
          <w:color w:val="000000"/>
        </w:rPr>
        <w:t xml:space="preserve">. Начало работ — </w:t>
      </w:r>
      <w:r>
        <w:rPr>
          <w:rFonts w:ascii="Times New Roman" w:hAnsi="Times New Roman"/>
          <w:b/>
          <w:color w:val="0055B8"/>
        </w:rPr>
        <w:t>05.10.2026</w:t>
      </w:r>
      <w:r>
        <w:rPr>
          <w:rFonts w:ascii="Times New Roman" w:hAnsi="Times New Roman"/>
          <w:color w:val="000000"/>
        </w:rPr>
        <w:t xml:space="preserve">, окончание и предъявление результата к приёмке — не позднее </w:t>
      </w:r>
      <w:r>
        <w:rPr>
          <w:rFonts w:ascii="Times New Roman" w:hAnsi="Times New Roman"/>
          <w:b/>
          <w:color w:val="0055B8"/>
        </w:rPr>
        <w:t>19.10.2026</w:t>
      </w:r>
      <w:r>
        <w:rPr>
          <w:rFonts w:ascii="Times New Roman" w:hAnsi="Times New Roman"/>
          <w:color w:val="000000"/>
        </w:rPr>
        <w:t xml:space="preserve">. Все периоды в таблице относятся к </w:t>
      </w:r>
      <w:r>
        <w:rPr>
          <w:rFonts w:ascii="Times New Roman" w:hAnsi="Times New Roman"/>
          <w:b/>
          <w:color w:val="0055B8"/>
        </w:rPr>
        <w:t>2026 году</w:t>
      </w:r>
      <w:r>
        <w:rPr>
          <w:rFonts w:ascii="Times New Roman" w:hAnsi="Times New Roman"/>
          <w:color w:val="000000"/>
        </w:rPr>
        <w:t>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4320"/>
        <w:gridCol w:w="1080"/>
        <w:gridCol w:w="1440"/>
        <w:gridCol w:w="1440"/>
        <w:gridCol w:w="1800"/>
      </w:tblGrid>
      <w:tr>
        <w:trPr>
          <w:cantSplit/>
          <w:tblHeader/>
        </w:trPr>
        <w:tc>
          <w:tcPr>
            <w:tcW w:type="dxa" w:w="432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Работы</w:t>
            </w:r>
          </w:p>
        </w:tc>
        <w:tc>
          <w:tcPr>
            <w:tcW w:type="dxa" w:w="108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Объём</w:t>
            </w:r>
          </w:p>
        </w:tc>
        <w:tc>
          <w:tcPr>
            <w:tcW w:type="dxa" w:w="144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Цена за ед., руб.</w:t>
            </w:r>
          </w:p>
        </w:tc>
        <w:tc>
          <w:tcPr>
            <w:tcW w:type="dxa" w:w="144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Сумма, руб.</w:t>
            </w:r>
          </w:p>
        </w:tc>
        <w:tc>
          <w:tcPr>
            <w:tcW w:type="dxa" w:w="180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Период</w:t>
            </w:r>
          </w:p>
        </w:tc>
      </w:tr>
      <w:tr>
        <w:trPr>
          <w:cantSplit/>
        </w:trPr>
        <w:tc>
          <w:tcPr>
            <w:tcW w:type="dxa" w:w="432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Удаление старых обоев со стен</w:t>
            </w:r>
          </w:p>
        </w:tc>
        <w:tc>
          <w:tcPr>
            <w:tcW w:type="dxa" w:w="108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90 м²</w:t>
            </w:r>
          </w:p>
        </w:tc>
        <w:tc>
          <w:tcPr>
            <w:tcW w:type="dxa" w:w="144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250</w:t>
            </w:r>
          </w:p>
        </w:tc>
        <w:tc>
          <w:tcPr>
            <w:tcW w:type="dxa" w:w="144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22 500</w:t>
            </w:r>
          </w:p>
        </w:tc>
        <w:tc>
          <w:tcPr>
            <w:tcW w:type="dxa" w:w="180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05.10–06.10</w:t>
            </w:r>
          </w:p>
        </w:tc>
      </w:tr>
      <w:tr>
        <w:trPr>
          <w:cantSplit/>
        </w:trPr>
        <w:tc>
          <w:tcPr>
            <w:tcW w:type="dxa" w:w="432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Зачистка, локальное шпатлевание и грунтование стен и потолков</w:t>
            </w:r>
          </w:p>
        </w:tc>
        <w:tc>
          <w:tcPr>
            <w:tcW w:type="dxa" w:w="108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126 м²</w:t>
            </w:r>
          </w:p>
        </w:tc>
        <w:tc>
          <w:tcPr>
            <w:tcW w:type="dxa" w:w="144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400</w:t>
            </w:r>
          </w:p>
        </w:tc>
        <w:tc>
          <w:tcPr>
            <w:tcW w:type="dxa" w:w="144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50 400</w:t>
            </w:r>
          </w:p>
        </w:tc>
        <w:tc>
          <w:tcPr>
            <w:tcW w:type="dxa" w:w="180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07.10–09.10</w:t>
            </w:r>
          </w:p>
        </w:tc>
      </w:tr>
      <w:tr>
        <w:trPr>
          <w:cantSplit/>
        </w:trPr>
        <w:tc>
          <w:tcPr>
            <w:tcW w:type="dxa" w:w="432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Окраска потолков в два слоя</w:t>
            </w:r>
          </w:p>
        </w:tc>
        <w:tc>
          <w:tcPr>
            <w:tcW w:type="dxa" w:w="108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36 м²</w:t>
            </w:r>
          </w:p>
        </w:tc>
        <w:tc>
          <w:tcPr>
            <w:tcW w:type="dxa" w:w="144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600</w:t>
            </w:r>
          </w:p>
        </w:tc>
        <w:tc>
          <w:tcPr>
            <w:tcW w:type="dxa" w:w="144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21 600</w:t>
            </w:r>
          </w:p>
        </w:tc>
        <w:tc>
          <w:tcPr>
            <w:tcW w:type="dxa" w:w="180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12.10–13.10</w:t>
            </w:r>
          </w:p>
        </w:tc>
      </w:tr>
      <w:tr>
        <w:trPr>
          <w:cantSplit/>
        </w:trPr>
        <w:tc>
          <w:tcPr>
            <w:tcW w:type="dxa" w:w="432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Оклейка стен флизелиновыми обоями</w:t>
            </w:r>
          </w:p>
        </w:tc>
        <w:tc>
          <w:tcPr>
            <w:tcW w:type="dxa" w:w="108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90 м²</w:t>
            </w:r>
          </w:p>
        </w:tc>
        <w:tc>
          <w:tcPr>
            <w:tcW w:type="dxa" w:w="144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450</w:t>
            </w:r>
          </w:p>
        </w:tc>
        <w:tc>
          <w:tcPr>
            <w:tcW w:type="dxa" w:w="144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40 500</w:t>
            </w:r>
          </w:p>
        </w:tc>
        <w:tc>
          <w:tcPr>
            <w:tcW w:type="dxa" w:w="180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14.10–16.10</w:t>
            </w:r>
          </w:p>
        </w:tc>
      </w:tr>
      <w:tr>
        <w:trPr>
          <w:cantSplit/>
        </w:trPr>
        <w:tc>
          <w:tcPr>
            <w:tcW w:type="dxa" w:w="432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Защита полов и имущества; уборка и вывоз строительного мусора</w:t>
            </w:r>
          </w:p>
        </w:tc>
        <w:tc>
          <w:tcPr>
            <w:tcW w:type="dxa" w:w="108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 компл.</w:t>
            </w:r>
          </w:p>
        </w:tc>
        <w:tc>
          <w:tcPr>
            <w:tcW w:type="dxa" w:w="144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15 000</w:t>
            </w:r>
          </w:p>
        </w:tc>
        <w:tc>
          <w:tcPr>
            <w:tcW w:type="dxa" w:w="144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15 000</w:t>
            </w:r>
          </w:p>
        </w:tc>
        <w:tc>
          <w:tcPr>
            <w:tcW w:type="dxa" w:w="180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05.10–19.10</w:t>
            </w:r>
          </w:p>
        </w:tc>
      </w:tr>
    </w:tbl>
    <w:p>
      <w:pPr>
        <w:keepLines/>
        <w:spacing w:before="120"/>
        <w:jc w:val="both"/>
      </w:pPr>
      <w:r>
        <w:rPr>
          <w:rFonts w:ascii="Times New Roman" w:hAnsi="Times New Roman"/>
          <w:color w:val="000000"/>
        </w:rPr>
        <w:t xml:space="preserve">2.2. Сумма каждой позиции равна объёму, умноженному на цену за единицу. Итого за работы — </w:t>
      </w:r>
      <w:r>
        <w:rPr>
          <w:rFonts w:ascii="Times New Roman" w:hAnsi="Times New Roman"/>
          <w:b/>
          <w:color w:val="0055B8"/>
        </w:rPr>
        <w:t>150 000 рублей</w:t>
      </w:r>
      <w:r>
        <w:rPr>
          <w:rFonts w:ascii="Times New Roman" w:hAnsi="Times New Roman"/>
          <w:color w:val="000000"/>
        </w:rPr>
        <w:t>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3 Цена и порядок оплаты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3.1. Твёрдая цена договора — </w:t>
      </w:r>
      <w:r>
        <w:rPr>
          <w:rFonts w:ascii="Times New Roman" w:hAnsi="Times New Roman"/>
          <w:b/>
          <w:color w:val="0055B8"/>
        </w:rPr>
        <w:t>205 000 (двести пять тысяч) рублей 00 копеек</w:t>
      </w:r>
      <w:r>
        <w:rPr>
          <w:rFonts w:ascii="Times New Roman" w:hAnsi="Times New Roman"/>
          <w:color w:val="000000"/>
        </w:rPr>
        <w:t xml:space="preserve">: работы </w:t>
      </w:r>
      <w:r>
        <w:rPr>
          <w:rFonts w:ascii="Times New Roman" w:hAnsi="Times New Roman"/>
          <w:b/>
          <w:color w:val="0055B8"/>
        </w:rPr>
        <w:t>150 000 рублей</w:t>
      </w:r>
      <w:r>
        <w:rPr>
          <w:rFonts w:ascii="Times New Roman" w:hAnsi="Times New Roman"/>
          <w:color w:val="000000"/>
        </w:rPr>
        <w:t xml:space="preserve"> + материалы по разделу 4 </w:t>
      </w:r>
      <w:r>
        <w:rPr>
          <w:rFonts w:ascii="Times New Roman" w:hAnsi="Times New Roman"/>
          <w:b/>
          <w:color w:val="0055B8"/>
        </w:rPr>
        <w:t>55 000 рублей</w:t>
      </w:r>
      <w:r>
        <w:rPr>
          <w:rFonts w:ascii="Times New Roman" w:hAnsi="Times New Roman"/>
          <w:color w:val="000000"/>
        </w:rPr>
        <w:t>. Цена включает доставку, инструменты, вывоз мусора, все расходы Подрядчика и применимые налоги.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3.2. Заказчик вносит аванс </w:t>
      </w:r>
      <w:r>
        <w:rPr>
          <w:rFonts w:ascii="Times New Roman" w:hAnsi="Times New Roman"/>
          <w:b/>
          <w:color w:val="0055B8"/>
        </w:rPr>
        <w:t>55 000 рублей</w:t>
      </w:r>
      <w:r>
        <w:rPr>
          <w:rFonts w:ascii="Times New Roman" w:hAnsi="Times New Roman"/>
          <w:color w:val="000000"/>
        </w:rPr>
        <w:t xml:space="preserve"> до </w:t>
      </w:r>
      <w:r>
        <w:rPr>
          <w:rFonts w:ascii="Times New Roman" w:hAnsi="Times New Roman"/>
          <w:b/>
          <w:color w:val="0055B8"/>
        </w:rPr>
        <w:t>02.10.2026</w:t>
      </w:r>
      <w:r>
        <w:rPr>
          <w:rFonts w:ascii="Times New Roman" w:hAnsi="Times New Roman"/>
          <w:color w:val="000000"/>
        </w:rPr>
        <w:t xml:space="preserve">. Остаток цены </w:t>
      </w:r>
      <w:r>
        <w:rPr>
          <w:rFonts w:ascii="Times New Roman" w:hAnsi="Times New Roman"/>
          <w:b/>
          <w:color w:val="0055B8"/>
        </w:rPr>
        <w:t>150 000 рублей</w:t>
      </w:r>
      <w:r>
        <w:rPr>
          <w:rFonts w:ascii="Times New Roman" w:hAnsi="Times New Roman"/>
          <w:color w:val="000000"/>
        </w:rPr>
        <w:t xml:space="preserve"> оплачивается в течение </w:t>
      </w:r>
      <w:r>
        <w:rPr>
          <w:rFonts w:ascii="Times New Roman" w:hAnsi="Times New Roman"/>
          <w:b/>
          <w:color w:val="0055B8"/>
        </w:rPr>
        <w:t>3 календарных дней</w:t>
      </w:r>
      <w:r>
        <w:rPr>
          <w:rFonts w:ascii="Times New Roman" w:hAnsi="Times New Roman"/>
          <w:color w:val="000000"/>
        </w:rPr>
        <w:t xml:space="preserve"> после приёмки результата. Оплата — по выбору Заказчика наличными в кассу или безналично по реквизитам Подрядчика; Подрядчик выдаёт кассовый чек. При заключении договора: </w:t>
      </w:r>
      <w:r>
        <w:rPr>
          <w:rFonts w:ascii="Times New Roman" w:hAnsi="Times New Roman"/>
          <w:b/>
          <w:color w:val="0055B8"/>
        </w:rPr>
        <w:t>аванс не внесён</w:t>
      </w:r>
      <w:r>
        <w:rPr>
          <w:rFonts w:ascii="Times New Roman" w:hAnsi="Times New Roman"/>
          <w:color w:val="000000"/>
        </w:rPr>
        <w:t>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3.3. Дополнительные платные работы и замены материалов допускаются после письменного согласования объёма, цены и сроков. Работы, выполненные без согласия Заказчика, отдельно не оплачиваются.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4 Материалы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4.1. Все материалы предоставляет Подрядчик. Согласованы следующие новые материалы; сумма каждой позиции равна количеству, умноженному на цену за единицу.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616"/>
        <w:gridCol w:w="1440"/>
        <w:gridCol w:w="1512"/>
        <w:gridCol w:w="1512"/>
      </w:tblGrid>
      <w:tr>
        <w:trPr>
          <w:cantSplit/>
          <w:tblHeader/>
        </w:trPr>
        <w:tc>
          <w:tcPr>
            <w:tcW w:type="dxa" w:w="561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Материал и характеристики</w:t>
            </w:r>
          </w:p>
        </w:tc>
        <w:tc>
          <w:tcPr>
            <w:tcW w:type="dxa" w:w="144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Количество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Цена за ед., руб.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Сумма, руб.</w:t>
            </w:r>
          </w:p>
        </w:tc>
      </w:tr>
      <w:tr>
        <w:trPr>
          <w:cantSplit/>
        </w:trPr>
        <w:tc>
          <w:tcPr>
            <w:tcW w:type="dxa" w:w="561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Обои флизелиновые, бежевые, без рисунка; рулон 1,06 × 10,05 м</w:t>
            </w:r>
          </w:p>
        </w:tc>
        <w:tc>
          <w:tcPr>
            <w:tcW w:type="dxa" w:w="144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10 рул.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3 000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30 000</w:t>
            </w:r>
          </w:p>
        </w:tc>
      </w:tr>
      <w:tr>
        <w:trPr>
          <w:cantSplit/>
        </w:trPr>
        <w:tc>
          <w:tcPr>
            <w:tcW w:type="dxa" w:w="561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Шпатлёвка полимерная финишная, белая; упаковка 20 кг</w:t>
            </w:r>
          </w:p>
        </w:tc>
        <w:tc>
          <w:tcPr>
            <w:tcW w:type="dxa" w:w="144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4 уп.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2 000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8 000</w:t>
            </w:r>
          </w:p>
        </w:tc>
      </w:tr>
      <w:tr>
        <w:trPr>
          <w:cantSplit/>
        </w:trPr>
        <w:tc>
          <w:tcPr>
            <w:tcW w:type="dxa" w:w="561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Грунтовка акриловая для внутренних работ; канистра 10 л</w:t>
            </w:r>
          </w:p>
        </w:tc>
        <w:tc>
          <w:tcPr>
            <w:tcW w:type="dxa" w:w="144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2 шт.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1 500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3 000</w:t>
            </w:r>
          </w:p>
        </w:tc>
      </w:tr>
      <w:tr>
        <w:trPr>
          <w:cantSplit/>
        </w:trPr>
        <w:tc>
          <w:tcPr>
            <w:tcW w:type="dxa" w:w="561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Клей для флизелиновых обоев; упаковка 500 г</w:t>
            </w:r>
          </w:p>
        </w:tc>
        <w:tc>
          <w:tcPr>
            <w:tcW w:type="dxa" w:w="144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3 уп.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1 000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3 000</w:t>
            </w:r>
          </w:p>
        </w:tc>
      </w:tr>
      <w:tr>
        <w:trPr>
          <w:cantSplit/>
        </w:trPr>
        <w:tc>
          <w:tcPr>
            <w:tcW w:type="dxa" w:w="561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Краска для потолков, водно-дисперсионная акриловая, белая матовая; ведро 10 л</w:t>
            </w:r>
          </w:p>
        </w:tc>
        <w:tc>
          <w:tcPr>
            <w:tcW w:type="dxa" w:w="144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 шт.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7 000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7 000</w:t>
            </w:r>
          </w:p>
        </w:tc>
      </w:tr>
      <w:tr>
        <w:trPr>
          <w:cantSplit/>
        </w:trPr>
        <w:tc>
          <w:tcPr>
            <w:tcW w:type="dxa" w:w="561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Укрывная полиэтиленовая плёнка 40 м² и малярная лента 48 мм × 50 м, 4 рулона</w:t>
            </w:r>
          </w:p>
        </w:tc>
        <w:tc>
          <w:tcPr>
            <w:tcW w:type="dxa" w:w="1440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 компл.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4 000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4 000</w:t>
            </w:r>
          </w:p>
        </w:tc>
      </w:tr>
    </w:tbl>
    <w:p>
      <w:pPr>
        <w:keepLines/>
        <w:spacing w:before="120"/>
        <w:jc w:val="both"/>
      </w:pPr>
      <w:r>
        <w:rPr>
          <w:rFonts w:ascii="Times New Roman" w:hAnsi="Times New Roman"/>
          <w:color w:val="000000"/>
        </w:rPr>
        <w:t xml:space="preserve">4.2. Итого за материалы — </w:t>
      </w:r>
      <w:r>
        <w:rPr>
          <w:rFonts w:ascii="Times New Roman" w:hAnsi="Times New Roman"/>
          <w:b/>
          <w:color w:val="0055B8"/>
        </w:rPr>
        <w:t>55 000 рублей</w:t>
      </w:r>
      <w:r>
        <w:rPr>
          <w:rFonts w:ascii="Times New Roman" w:hAnsi="Times New Roman"/>
          <w:color w:val="000000"/>
        </w:rPr>
        <w:t>. Подрядчик отвечает за их качество, пригодность и сохранность, соблюдает инструкции изготовителей. При сдаче работ он передаёт Заказчику остатки оплаченных материалов и сведения об их использовании.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5 Организация работ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5.1. До начала ремонта Стороны фиксируют в акте состояние квартиры, видимые дефекты, оставшееся имущество и переданные ключи. Заказчик обеспечивает законный доступ, освобождает зону ремонта и предоставляет воду и электроэнергию; их потребление по квартире оплачивает Заказчик.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5.2. Подрядчик обеспечивает безопасность работ, защиту имущества, соблюдение установленных законом ограничений по шуму и законный вывоз мусора. Привлекая других лиц, он сохраняет ответственность за их действия. За причинённый при ремонте вред он отвечает в соответствии с законом.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5.3. Заказчик вправе проверять ход и качество ремонта. Подрядчик извещает его о готовности основания к осмотру не менее чем за </w:t>
      </w:r>
      <w:r>
        <w:rPr>
          <w:rFonts w:ascii="Times New Roman" w:hAnsi="Times New Roman"/>
          <w:b/>
          <w:color w:val="0055B8"/>
        </w:rPr>
        <w:t>1 рабочий день</w:t>
      </w:r>
      <w:r>
        <w:rPr>
          <w:rFonts w:ascii="Times New Roman" w:hAnsi="Times New Roman"/>
          <w:color w:val="000000"/>
        </w:rPr>
        <w:t xml:space="preserve"> до оклейки или окраски; результат осмотра фиксируется актом. При угрозе качеству, безопасности или срокам Подрядчик немедленно уведомляет Заказчика и приостанавливает затронутые работы. Изменение сроков оформляется письменно с учётом предусмотренных законом прав Сторон.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6 Приёмка и гарантия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6.1. Подрядчик письменно сообщает о готовности результата. Заказчик в течение </w:t>
      </w:r>
      <w:r>
        <w:rPr>
          <w:rFonts w:ascii="Times New Roman" w:hAnsi="Times New Roman"/>
          <w:b/>
          <w:color w:val="0055B8"/>
        </w:rPr>
        <w:t>3 рабочих дней</w:t>
      </w:r>
      <w:r>
        <w:rPr>
          <w:rFonts w:ascii="Times New Roman" w:hAnsi="Times New Roman"/>
          <w:color w:val="000000"/>
        </w:rPr>
        <w:t xml:space="preserve"> совместно с Подрядчиком осматривает работы. В акте приёмки указываются фактическая дата, объём, выявленные недостатки и требования Заказчика; при отказе от приёмки — причины. Молчание не считается приёмкой. Подрядчик передаёт ключи и рекомендации по уходу за отделкой.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6.2. Результат должен соответствовать смете и обязательным требованиям: покрытия — ровные и прочные, без отслоений, разрывов обоев, заметных непрокрасов и загрязнений. При недостатках Заказчик вправе выбрать бесплатное исправление, уменьшение цены, повторное выполнение работ либо возмещение расходов на исправление своими силами или третьими лицами. Отказ от договора и иные требования допускаются на условиях статьи 29 Закона РФ «О защите прав потребителей».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6.3. Гарантия на работы и материалы — </w:t>
      </w:r>
      <w:r>
        <w:rPr>
          <w:rFonts w:ascii="Times New Roman" w:hAnsi="Times New Roman"/>
          <w:b/>
          <w:color w:val="0055B8"/>
        </w:rPr>
        <w:t>24 месяца</w:t>
      </w:r>
      <w:r>
        <w:rPr>
          <w:rFonts w:ascii="Times New Roman" w:hAnsi="Times New Roman"/>
          <w:color w:val="000000"/>
        </w:rPr>
        <w:t xml:space="preserve"> с приёмки; ответственность Подрядчика определяется пунктом 4 статьи 29 Закона РФ «О защите прав потребителей». После гарантии требования о недостатках в недвижимости сохраняются в пределах пяти лет с приёмки, если Заказчик докажет их возникновение до приёмки или по причинам, возникшим до неё. Иные законные права сохраняются.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6.4. Подрядчик устраняет недостатки в разумный срок, назначенный Заказчиком письменно. Денежные требования по пункту 1 статьи 31 указанного Закона удовлетворяются в течение десяти дней с предъявления. Акт приёмки не исключает требований по скрытым недостаткам.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7 Ответственность и отказ от договора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7.1. При просрочке Заказчик вправе предъявить требования по статье 28 Закона РФ «О защите прав потребителей», включая назначение нового срока или отказ от договора. Подрядчик уплачивает неустойку 3% за каждый день просрочки; её база, предел и основания освобождения определяются указанной статьёй. Убытки и иная ответственность определяются законом.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7.2. Заказчик вправе в любое время отказаться от договора. Если отказ не связан с нарушением Подрядчика, Заказчик оплачивает только фактически понесённые и документально подтверждённые расходы по данному заказу. Подрядчик предоставляет расчёт и возвращает полученные платежи за вычетом таких расходов в течение </w:t>
      </w:r>
      <w:r>
        <w:rPr>
          <w:rFonts w:ascii="Times New Roman" w:hAnsi="Times New Roman"/>
          <w:b/>
          <w:color w:val="0055B8"/>
        </w:rPr>
        <w:t>10 календарных дней</w:t>
      </w:r>
      <w:r>
        <w:rPr>
          <w:rFonts w:ascii="Times New Roman" w:hAnsi="Times New Roman"/>
          <w:color w:val="000000"/>
        </w:rPr>
        <w:t xml:space="preserve"> со дня получения уведомления об отказе.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7.3. При отказе из-за просрочки или недостатков расчёты производятся по статьям 28–31 Закона РФ «О защите прав потребителей»; удержание расходов по пункту 7.2 в этом случае не применяется.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8 Заключительные условия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8.1. Договор регулируется законодательством Российской Федерации и действует с подписания до исполнения обязательств, включая гарантийные. Сметы входят в договор. Составлено два экземпляра, по одному каждой Стороне.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8.2. Уведомления и претензии можно вручить под подпись, направить почтой или на электронные адреса раздела 9 с возможностью подтвердить отправку и получение. Споры рассматриваются судом по закону с сохранением права Заказчика на выбор подсудности.</w:t>
      </w:r>
    </w:p>
    <w:p>
      <w:pPr>
        <w:keepLines/>
        <w:spacing w:before="100"/>
        <w:jc w:val="left"/>
      </w:pPr>
      <w:r>
        <w:rPr>
          <w:rFonts w:ascii="Times New Roman" w:hAnsi="Times New Roman"/>
          <w:color w:val="000000"/>
          <w:sz w:val="21"/>
        </w:rPr>
        <w:t>Отметка об исполнении (при приёмке): дата ______________; акт № ______________.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9 Реквизиты и подписи сторон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040"/>
        <w:gridCol w:w="5040"/>
      </w:tblGrid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  <w:shd w:fill="F2F2F2"/>
          </w:tcPr>
          <w:p>
            <w:pPr>
              <w:keepNext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ЗАКАЗЧИК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  <w:shd w:fill="F2F2F2"/>
          </w:tcPr>
          <w:p>
            <w:pPr>
              <w:keepNext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ПОДРЯДЧИК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Иванов Иван Иванович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Дата рождения: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01.01.1985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ООО «Ромашка»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ОГРН: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1257700000001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ИНН: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7701000001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; КПП: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770101001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Паспорт: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45 00 № 123456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Выдан: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ОВД района Примерный г. Москвы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Выдан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01.02.2005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; код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770-001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Р/с: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40702810000000000001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АО «Банк Пример»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; БИК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044500000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К/с: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30101810000000000000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Адрес: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123000, г. Москва,</w:t>
              <w:br/>
              <w:t>ул. Примерная, д. 1, кв. 10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Адрес: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123000, г. Москва,</w:t>
              <w:br/>
              <w:t>ул. Образцовая, д. 2, офис 201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Телефон: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+7 (000) 111-11-11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Эл. почта: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ivanov@example.com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Телефон: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+7 (000) 222-22-22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Эл. почта: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romashka@example.com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 w:val="0"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</w:rPr>
              <w:t>Заказчик</w:t>
              <w:br/>
              <w:br/>
              <w:t xml:space="preserve">________________ /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И. И. Иванов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 /</w:t>
              <w:br/>
              <w:t>Подпись / расшифровка</w:t>
              <w:br/>
              <w:t xml:space="preserve">Дата: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01.10.2026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 w:val="0"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</w:rPr>
              <w:t>Генеральный директор</w:t>
              <w:br/>
              <w:br/>
              <w:t xml:space="preserve">________________ /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П. П. Петров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 /</w:t>
              <w:br/>
              <w:t>Подпись / расшифровка</w:t>
              <w:br/>
              <w:t xml:space="preserve">Дата: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01.10.2026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080" w:bottom="1008" w:left="108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Times New Roman" w:hAnsi="Times New Roman"/>
        <w:color w:val="000000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50" w:lineRule="auto" w:after="60"/>
    </w:pPr>
    <w:rPr>
      <w:rFonts w:ascii="Times New Roman" w:hAnsi="Times New Roman"/>
      <w:color w:val="000000"/>
      <w:sz w:val="23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3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80" w:line="240" w:lineRule="auto"/>
      <w:contextualSpacing/>
      <w:jc w:val="center"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0"/>
      <w:szCs w:val="52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after="80"/>
      <w:jc w:val="center"/>
    </w:pPr>
    <w:rPr>
      <w:rFonts w:asciiTheme="majorHAnsi" w:eastAsiaTheme="majorEastAsia" w:hAnsiTheme="majorHAnsi" w:cstheme="majorBidi" w:ascii="Times New Roman" w:hAnsi="Times New Roman"/>
      <w:i/>
      <w:iCs/>
      <w:color w:val="000000"/>
      <w:spacing w:val="15"/>
      <w:sz w:val="23"/>
      <w:szCs w:val="24"/>
      <w:lang w:val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на ремонт квартиры</dc:title>
  <dc:subject>Образец договора на косметический ремонт квартиры с перечнем работ, сметой материалов и календарным планом</dc:subject>
  <dc:creator/>
  <cp:keywords>ремонт квартиры, подряд, потребитель, смета, гарантия, образец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