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строительного подряда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Образец договора между юридическими лицами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01/СП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Синим жирным шрифтом выделены вымышленные данные и условные значения.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ООО «Ромашка»</w:t>
      </w:r>
      <w:r>
        <w:rPr>
          <w:rFonts w:ascii="Times New Roman" w:hAnsi="Times New Roman"/>
          <w:color w:val="000000"/>
        </w:rPr>
        <w:t xml:space="preserve"> в лице генерального директора </w:t>
      </w:r>
      <w:r>
        <w:rPr>
          <w:rFonts w:ascii="Times New Roman" w:hAnsi="Times New Roman"/>
          <w:b/>
          <w:color w:val="0055B8"/>
        </w:rPr>
        <w:t>Иванова Ивана Ивановича</w:t>
      </w:r>
      <w:r>
        <w:rPr>
          <w:rFonts w:ascii="Times New Roman" w:hAnsi="Times New Roman"/>
          <w:color w:val="000000"/>
        </w:rPr>
        <w:t xml:space="preserve">, действующего на основании Устава, именуемое «Заказчик», и </w:t>
      </w:r>
      <w:r>
        <w:rPr>
          <w:rFonts w:ascii="Times New Roman" w:hAnsi="Times New Roman"/>
          <w:b/>
          <w:color w:val="0055B8"/>
        </w:rPr>
        <w:t>ООО «СтройСервис»</w:t>
      </w:r>
      <w:r>
        <w:rPr>
          <w:rFonts w:ascii="Times New Roman" w:hAnsi="Times New Roman"/>
          <w:color w:val="000000"/>
        </w:rPr>
        <w:t xml:space="preserve"> в лице генерального директора </w:t>
      </w:r>
      <w:r>
        <w:rPr>
          <w:rFonts w:ascii="Times New Roman" w:hAnsi="Times New Roman"/>
          <w:b/>
          <w:color w:val="0055B8"/>
        </w:rPr>
        <w:t>Петрова Петра Петровича</w:t>
      </w:r>
      <w:r>
        <w:rPr>
          <w:rFonts w:ascii="Times New Roman" w:hAnsi="Times New Roman"/>
          <w:color w:val="000000"/>
        </w:rPr>
        <w:t>, действующего на основании Устава, именуемое «Подрядчик», совместно именуемые «Стороны», заключили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 и техническая документация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1.1. Подрядчик обязуется выполнить </w:t>
      </w:r>
      <w:r>
        <w:rPr>
          <w:rFonts w:ascii="Times New Roman" w:hAnsi="Times New Roman"/>
          <w:b/>
          <w:color w:val="0055B8"/>
        </w:rPr>
        <w:t>капитальный ремонт плоской кровли нежилого склада площадью кровли 200 кв. м</w:t>
      </w:r>
      <w:r>
        <w:rPr>
          <w:rFonts w:ascii="Times New Roman" w:hAnsi="Times New Roman"/>
          <w:color w:val="000000"/>
        </w:rPr>
        <w:t xml:space="preserve"> по адресу: </w:t>
      </w:r>
      <w:r>
        <w:rPr>
          <w:rFonts w:ascii="Times New Roman" w:hAnsi="Times New Roman"/>
          <w:b/>
          <w:color w:val="0055B8"/>
        </w:rPr>
        <w:t>г. Москва, ул. Примерная, д. 10, стр. 2</w:t>
      </w:r>
      <w:r>
        <w:rPr>
          <w:rFonts w:ascii="Times New Roman" w:hAnsi="Times New Roman"/>
          <w:color w:val="000000"/>
        </w:rPr>
        <w:t xml:space="preserve">, кадастровый номер здания </w:t>
      </w:r>
      <w:r>
        <w:rPr>
          <w:rFonts w:ascii="Times New Roman" w:hAnsi="Times New Roman"/>
          <w:b/>
          <w:color w:val="0055B8"/>
        </w:rPr>
        <w:t>77:01:0001001:4001</w:t>
      </w:r>
      <w:r>
        <w:rPr>
          <w:rFonts w:ascii="Times New Roman" w:hAnsi="Times New Roman"/>
          <w:color w:val="000000"/>
        </w:rPr>
        <w:t xml:space="preserve"> (далее — Объект). Заказчик создаёт условия для работ, принимает их результат и оплачивает его.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1.2. Объект принадлежит Заказчику на праве собственности. Техническое задание: </w:t>
      </w:r>
      <w:r>
        <w:rPr>
          <w:rFonts w:ascii="Times New Roman" w:hAnsi="Times New Roman"/>
          <w:b/>
          <w:color w:val="0055B8"/>
        </w:rPr>
        <w:t>заменить кровельное покрытие, пароизоляцию и утепление, восстановить основание, примыкания и водоотвод; несущие конструкции не изменять</w:t>
      </w:r>
      <w:r>
        <w:rPr>
          <w:rFonts w:ascii="Times New Roman" w:hAnsi="Times New Roman"/>
          <w:color w:val="000000"/>
        </w:rPr>
        <w:t xml:space="preserve">. Требуемый результат — </w:t>
      </w:r>
      <w:r>
        <w:rPr>
          <w:rFonts w:ascii="Times New Roman" w:hAnsi="Times New Roman"/>
          <w:b/>
          <w:color w:val="0055B8"/>
        </w:rPr>
        <w:t>герметичная кровля с исправным водоотводом, пригодная для эксплуатации склада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1.3. Заказчик до </w:t>
      </w:r>
      <w:r>
        <w:rPr>
          <w:rFonts w:ascii="Times New Roman" w:hAnsi="Times New Roman"/>
          <w:b/>
          <w:color w:val="0055B8"/>
        </w:rPr>
        <w:t>05.10.2026</w:t>
      </w:r>
      <w:r>
        <w:rPr>
          <w:rFonts w:ascii="Times New Roman" w:hAnsi="Times New Roman"/>
          <w:color w:val="000000"/>
        </w:rPr>
        <w:t xml:space="preserve"> передаёт по акту утверждённую рабочую документацию </w:t>
      </w:r>
      <w:r>
        <w:rPr>
          <w:rFonts w:ascii="Times New Roman" w:hAnsi="Times New Roman"/>
          <w:b/>
          <w:color w:val="0055B8"/>
        </w:rPr>
        <w:t>КР-01/2026</w:t>
      </w:r>
      <w:r>
        <w:rPr>
          <w:rFonts w:ascii="Times New Roman" w:hAnsi="Times New Roman"/>
          <w:color w:val="000000"/>
        </w:rPr>
        <w:t xml:space="preserve">: </w:t>
      </w:r>
      <w:r>
        <w:rPr>
          <w:rFonts w:ascii="Times New Roman" w:hAnsi="Times New Roman"/>
          <w:b/>
          <w:color w:val="0055B8"/>
        </w:rPr>
        <w:t>план кровли, разрезы и узлы примыканий и водоотвода, спецификацию материалов с указанием марки, толщины и количества</w:t>
      </w:r>
      <w:r>
        <w:rPr>
          <w:rFonts w:ascii="Times New Roman" w:hAnsi="Times New Roman"/>
          <w:color w:val="000000"/>
        </w:rPr>
        <w:t>. Она определяет технические решения, материалы и технологию работ. Подрядчик соблюдает документацию, настоящий договор и обязательные требования законодательства.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Смета и календарный план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2.1. Начало работ — </w:t>
      </w:r>
      <w:r>
        <w:rPr>
          <w:rFonts w:ascii="Times New Roman" w:hAnsi="Times New Roman"/>
          <w:b/>
          <w:color w:val="0055B8"/>
        </w:rPr>
        <w:t>12.10.2026</w:t>
      </w:r>
      <w:r>
        <w:rPr>
          <w:rFonts w:ascii="Times New Roman" w:hAnsi="Times New Roman"/>
          <w:color w:val="000000"/>
        </w:rPr>
        <w:t xml:space="preserve">, окончание и предъявление результата к приёмке — не позднее </w:t>
      </w:r>
      <w:r>
        <w:rPr>
          <w:rFonts w:ascii="Times New Roman" w:hAnsi="Times New Roman"/>
          <w:b/>
          <w:color w:val="0055B8"/>
        </w:rPr>
        <w:t>30.11.2026</w:t>
      </w:r>
      <w:r>
        <w:rPr>
          <w:rFonts w:ascii="Times New Roman" w:hAnsi="Times New Roman"/>
          <w:color w:val="000000"/>
        </w:rPr>
        <w:t xml:space="preserve">. Промежуточные сроки и стоимость работ установлены ниже. Все периоды указаны для </w:t>
      </w:r>
      <w:r>
        <w:rPr>
          <w:rFonts w:ascii="Times New Roman" w:hAnsi="Times New Roman"/>
          <w:b/>
          <w:color w:val="0055B8"/>
        </w:rPr>
        <w:t>2026 года</w:t>
      </w:r>
      <w:r>
        <w:rPr>
          <w:rFonts w:ascii="Times New Roman" w:hAnsi="Times New Roman"/>
          <w:color w:val="000000"/>
        </w:rPr>
        <w:t>, цены — без НДС.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4176"/>
        <w:gridCol w:w="1008"/>
        <w:gridCol w:w="1512"/>
        <w:gridCol w:w="1656"/>
        <w:gridCol w:w="1728"/>
      </w:tblGrid>
      <w:tr>
        <w:trPr>
          <w:cantSplit/>
          <w:tblHeader/>
        </w:trPr>
        <w:tc>
          <w:tcPr>
            <w:tcW w:type="dxa" w:w="417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Работы</w:t>
            </w:r>
          </w:p>
        </w:tc>
        <w:tc>
          <w:tcPr>
            <w:tcW w:type="dxa" w:w="100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Объём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Цена за ед., руб.</w:t>
            </w:r>
          </w:p>
        </w:tc>
        <w:tc>
          <w:tcPr>
            <w:tcW w:type="dxa" w:w="165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Стоимость, руб.</w:t>
            </w:r>
          </w:p>
        </w:tc>
        <w:tc>
          <w:tcPr>
            <w:tcW w:type="dxa" w:w="172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Период</w:t>
            </w:r>
          </w:p>
        </w:tc>
      </w:tr>
      <w:tr>
        <w:trPr>
          <w:cantSplit/>
        </w:trPr>
        <w:tc>
          <w:tcPr>
            <w:tcW w:type="dxa" w:w="417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Подготовка площадки; демонтаж старого покрытия и утепления</w:t>
            </w:r>
          </w:p>
        </w:tc>
        <w:tc>
          <w:tcPr>
            <w:tcW w:type="dxa" w:w="100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200 м²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750</w:t>
            </w:r>
          </w:p>
        </w:tc>
        <w:tc>
          <w:tcPr>
            <w:tcW w:type="dxa" w:w="165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150 000</w:t>
            </w:r>
          </w:p>
        </w:tc>
        <w:tc>
          <w:tcPr>
            <w:tcW w:type="dxa" w:w="172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12.10–16.10</w:t>
            </w:r>
          </w:p>
        </w:tc>
      </w:tr>
      <w:tr>
        <w:trPr>
          <w:cantSplit/>
        </w:trPr>
        <w:tc>
          <w:tcPr>
            <w:tcW w:type="dxa" w:w="417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Ремонт основания; устройство пароизоляции и утепления</w:t>
            </w:r>
          </w:p>
        </w:tc>
        <w:tc>
          <w:tcPr>
            <w:tcW w:type="dxa" w:w="100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200 м²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2 000</w:t>
            </w:r>
          </w:p>
        </w:tc>
        <w:tc>
          <w:tcPr>
            <w:tcW w:type="dxa" w:w="165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400 000</w:t>
            </w:r>
          </w:p>
        </w:tc>
        <w:tc>
          <w:tcPr>
            <w:tcW w:type="dxa" w:w="172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19.10–06.11</w:t>
            </w:r>
          </w:p>
        </w:tc>
      </w:tr>
      <w:tr>
        <w:trPr>
          <w:cantSplit/>
        </w:trPr>
        <w:tc>
          <w:tcPr>
            <w:tcW w:type="dxa" w:w="417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Устройство гидроизоляционного покрытия и примыканий</w:t>
            </w:r>
          </w:p>
        </w:tc>
        <w:tc>
          <w:tcPr>
            <w:tcW w:type="dxa" w:w="100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200 м²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1 750</w:t>
            </w:r>
          </w:p>
        </w:tc>
        <w:tc>
          <w:tcPr>
            <w:tcW w:type="dxa" w:w="165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350 000</w:t>
            </w:r>
          </w:p>
        </w:tc>
        <w:tc>
          <w:tcPr>
            <w:tcW w:type="dxa" w:w="172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09.11–20.11</w:t>
            </w:r>
          </w:p>
        </w:tc>
      </w:tr>
      <w:tr>
        <w:trPr>
          <w:cantSplit/>
        </w:trPr>
        <w:tc>
          <w:tcPr>
            <w:tcW w:type="dxa" w:w="417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Восстановление водоотвода; проверка результата, уборка и вывоз отходов</w:t>
            </w:r>
          </w:p>
        </w:tc>
        <w:tc>
          <w:tcPr>
            <w:tcW w:type="dxa" w:w="100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компл.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100 000</w:t>
            </w:r>
          </w:p>
        </w:tc>
        <w:tc>
          <w:tcPr>
            <w:tcW w:type="dxa" w:w="165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100 000</w:t>
            </w:r>
          </w:p>
        </w:tc>
        <w:tc>
          <w:tcPr>
            <w:tcW w:type="dxa" w:w="172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23.11–30.11</w:t>
            </w:r>
          </w:p>
        </w:tc>
      </w:tr>
    </w:tbl>
    <w:p>
      <w:pPr>
        <w:keepLines/>
        <w:spacing w:before="120"/>
        <w:jc w:val="both"/>
      </w:pPr>
      <w:r>
        <w:rPr>
          <w:rFonts w:ascii="Times New Roman" w:hAnsi="Times New Roman"/>
          <w:color w:val="000000"/>
        </w:rPr>
        <w:t xml:space="preserve">2.2. Стоимость каждой позиции равна объёму, умноженному на цену за единицу. Итого без НДС — </w:t>
      </w:r>
      <w:r>
        <w:rPr>
          <w:rFonts w:ascii="Times New Roman" w:hAnsi="Times New Roman"/>
          <w:b/>
          <w:color w:val="0055B8"/>
        </w:rPr>
        <w:t>1 000 000 рублей</w:t>
      </w:r>
      <w:r>
        <w:rPr>
          <w:rFonts w:ascii="Times New Roman" w:hAnsi="Times New Roman"/>
          <w:color w:val="000000"/>
        </w:rPr>
        <w:t xml:space="preserve">; НДС </w:t>
      </w:r>
      <w:r>
        <w:rPr>
          <w:rFonts w:ascii="Times New Roman" w:hAnsi="Times New Roman"/>
          <w:b/>
          <w:color w:val="0055B8"/>
        </w:rPr>
        <w:t>22%</w:t>
      </w:r>
      <w:r>
        <w:rPr>
          <w:rFonts w:ascii="Times New Roman" w:hAnsi="Times New Roman"/>
          <w:color w:val="000000"/>
        </w:rPr>
        <w:t xml:space="preserve"> — </w:t>
      </w:r>
      <w:r>
        <w:rPr>
          <w:rFonts w:ascii="Times New Roman" w:hAnsi="Times New Roman"/>
          <w:b/>
          <w:color w:val="0055B8"/>
        </w:rPr>
        <w:t>220 000 рублей</w:t>
      </w:r>
      <w:r>
        <w:rPr>
          <w:rFonts w:ascii="Times New Roman" w:hAnsi="Times New Roman"/>
          <w:color w:val="000000"/>
        </w:rPr>
        <w:t xml:space="preserve">; всего с НДС — </w:t>
      </w:r>
      <w:r>
        <w:rPr>
          <w:rFonts w:ascii="Times New Roman" w:hAnsi="Times New Roman"/>
          <w:b/>
          <w:color w:val="0055B8"/>
        </w:rPr>
        <w:t>1 220 000 рублей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2.3. Все материалы, доставка, оборудование, работы, проверка результата и вывоз отходов включены в смету. Изменение объёма, цены и сроков оформляется письменным соглашением Сторон, кроме предусмотренных законом случаев.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Цена и порядок оплаты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Цена договора твёрдая: </w:t>
      </w:r>
      <w:r>
        <w:rPr>
          <w:rFonts w:ascii="Times New Roman" w:hAnsi="Times New Roman"/>
          <w:b/>
          <w:color w:val="0055B8"/>
        </w:rPr>
        <w:t>1 220 000 (один миллион двести двадцать тысяч) рублей 00 копеек</w:t>
      </w:r>
      <w:r>
        <w:rPr>
          <w:rFonts w:ascii="Times New Roman" w:hAnsi="Times New Roman"/>
          <w:color w:val="000000"/>
        </w:rPr>
        <w:t xml:space="preserve">, включая НДС </w:t>
      </w:r>
      <w:r>
        <w:rPr>
          <w:rFonts w:ascii="Times New Roman" w:hAnsi="Times New Roman"/>
          <w:b/>
          <w:color w:val="0055B8"/>
        </w:rPr>
        <w:t>220 000 рублей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3.2. Заказчик перечисляет на расчётный счёт Подрядчика аванс </w:t>
      </w:r>
      <w:r>
        <w:rPr>
          <w:rFonts w:ascii="Times New Roman" w:hAnsi="Times New Roman"/>
          <w:b/>
          <w:color w:val="0055B8"/>
        </w:rPr>
        <w:t>30% — 366 000 рублей</w:t>
      </w:r>
      <w:r>
        <w:rPr>
          <w:rFonts w:ascii="Times New Roman" w:hAnsi="Times New Roman"/>
          <w:color w:val="000000"/>
        </w:rPr>
        <w:t xml:space="preserve"> до </w:t>
      </w:r>
      <w:r>
        <w:rPr>
          <w:rFonts w:ascii="Times New Roman" w:hAnsi="Times New Roman"/>
          <w:b/>
          <w:color w:val="0055B8"/>
        </w:rPr>
        <w:t>08.10.2026</w:t>
      </w:r>
      <w:r>
        <w:rPr>
          <w:rFonts w:ascii="Times New Roman" w:hAnsi="Times New Roman"/>
          <w:color w:val="000000"/>
        </w:rPr>
        <w:t xml:space="preserve">. Остаток цены после зачёта аванса составляет </w:t>
      </w:r>
      <w:r>
        <w:rPr>
          <w:rFonts w:ascii="Times New Roman" w:hAnsi="Times New Roman"/>
          <w:b/>
          <w:color w:val="0055B8"/>
        </w:rPr>
        <w:t>70% — 854 000 рублей</w:t>
      </w:r>
      <w:r>
        <w:rPr>
          <w:rFonts w:ascii="Times New Roman" w:hAnsi="Times New Roman"/>
          <w:color w:val="000000"/>
        </w:rPr>
        <w:t xml:space="preserve"> и уплачивается в течение </w:t>
      </w:r>
      <w:r>
        <w:rPr>
          <w:rFonts w:ascii="Times New Roman" w:hAnsi="Times New Roman"/>
          <w:b/>
          <w:color w:val="0055B8"/>
        </w:rPr>
        <w:t>5 рабочих дней</w:t>
      </w:r>
      <w:r>
        <w:rPr>
          <w:rFonts w:ascii="Times New Roman" w:hAnsi="Times New Roman"/>
          <w:color w:val="000000"/>
        </w:rPr>
        <w:t xml:space="preserve"> после приёмки результата работ.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Условия выполнения работ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4.1. Заказчик до </w:t>
      </w:r>
      <w:r>
        <w:rPr>
          <w:rFonts w:ascii="Times New Roman" w:hAnsi="Times New Roman"/>
          <w:b/>
          <w:color w:val="0055B8"/>
        </w:rPr>
        <w:t>08.10.2026</w:t>
      </w:r>
      <w:r>
        <w:rPr>
          <w:rFonts w:ascii="Times New Roman" w:hAnsi="Times New Roman"/>
          <w:color w:val="000000"/>
        </w:rPr>
        <w:t xml:space="preserve"> передаёт по акту площадку, обеспечивает доступ, место для складирования, точки подключения к воде и электроэнергии. До начала работ он передаёт необходимые согласования и разрешительные документы, если они требуются законом. Использование предоставленных воды и электроэнергии отдельно Подрядчиком не оплачивается.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4.2. Подрядчик выполняет работы своими силами и средствами из собственных новых материалов, соответствующих рабочей документации. Он вправе привлекать субподрядчиков, оставаясь ответственным перед Заказчиком за их действия и результат работ.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4.3. Подрядчик обеспечивает безопасность работ, соблюдение требований охраны труда, пожарной безопасности и охраны окружающей среды; защищает Объект и имущество Заказчика от повреждений и осадков, убирает площадку и вывозит отходы. Риск случайной гибели или повреждения результата работ до приёмки несёт Подрядчик с учётом предусмотренных законом исключений.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4.4. Заказчик вправе контролировать ход, сроки, качество работ и материалов без вмешательства в оперативную деятельность Подрядчика. О готовности скрытых работ к освидетельствованию Подрядчик извещает не менее чем за </w:t>
      </w:r>
      <w:r>
        <w:rPr>
          <w:rFonts w:ascii="Times New Roman" w:hAnsi="Times New Roman"/>
          <w:b/>
          <w:color w:val="0055B8"/>
        </w:rPr>
        <w:t>2 рабочих дня</w:t>
      </w:r>
      <w:r>
        <w:rPr>
          <w:rFonts w:ascii="Times New Roman" w:hAnsi="Times New Roman"/>
          <w:color w:val="000000"/>
        </w:rPr>
        <w:t>. Последующие работы выполняются после освидетельствования и оформления соответствующих актов.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4.5. Обнаружив ошибки документации, угрозу качеству или безопасности, Подрядчик немедленно уведомляет Заказчика и приостанавливает затронутые работы до получения указаний. Если нужны дополнительные работы, он направляет описание, расчёт цены и влияния на сроки; при отсутствии ответа в течение десяти дней приостанавливает соответствующие работы. Порядок согласования и исключения для неотложных работ определяются статьёй 743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4.6. При нарушении встречных обязанностей Заказчиком Подрядчик вправе приостановить работы в предусмотренных законом случаях, письменно указав причину. Изменение сроков оформляется соглашением; ответственность за задержку определяется с учётом её причины и продолжительности.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Сдача и приёмка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5.1. Подрядчик письменно сообщает о готовности результата, передаёт акт выполненных работ, исполнительную документацию, акты скрытых работ, документы о качестве материалов и инструкции по эксплуатации. Предусмотренные документацией проверки герметичности кровли и работы водоотвода проводятся до приёмки с оформлением результатов.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5.2. Заказчик незамедлительно приступает к приёмке и в течение </w:t>
      </w:r>
      <w:r>
        <w:rPr>
          <w:rFonts w:ascii="Times New Roman" w:hAnsi="Times New Roman"/>
          <w:b/>
          <w:color w:val="0055B8"/>
        </w:rPr>
        <w:t>5 рабочих дней</w:t>
      </w:r>
      <w:r>
        <w:rPr>
          <w:rFonts w:ascii="Times New Roman" w:hAnsi="Times New Roman"/>
          <w:color w:val="000000"/>
        </w:rPr>
        <w:t xml:space="preserve"> подписывает акт, в том числе с замечаниями, либо направляет обоснованный отказ в предусмотренных законом случаях. В акте фиксируются объём, качество, выявленные недостатки и сроки их устранения.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5.3. Сдача и приёмка оформляются по статье 753 ГК РФ, включая установленный ею порядок составления и оценки одностороннего акта. Проверка скрытых работ и промежуточный контроль не являются приёмкой самостоятельных этапов; результат сдаётся целиком.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6 Качество и гарантия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6.1. Гарантия на весь результат работ и материалы — </w:t>
      </w:r>
      <w:r>
        <w:rPr>
          <w:rFonts w:ascii="Times New Roman" w:hAnsi="Times New Roman"/>
          <w:b/>
          <w:color w:val="0055B8"/>
        </w:rPr>
        <w:t>5 лет</w:t>
      </w:r>
      <w:r>
        <w:rPr>
          <w:rFonts w:ascii="Times New Roman" w:hAnsi="Times New Roman"/>
          <w:color w:val="000000"/>
        </w:rPr>
        <w:t xml:space="preserve"> с приёмки. Она продлевается на период невозможности использования Объекта из-за недостатков, за которые отвечает Подрядчик. Ответственность за гарантийные недостатки определяется статьёй 755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6.2. Заказчик сообщает о недостатках в разумный срок. Подрядчик бесплатно устраняет относящиеся к его ответственности недостатки в разумный срок, указанный Заказчиком. При просрочке Заказчик вправе устранить их сам или через третьих лиц и взыскать необходимые расходы. Иные требования определяются статьёй 723 ГК РФ.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7 Ответственность и прекращение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7.1. За каждый календарный день просрочки Подрядчик уплачивает пеню </w:t>
      </w:r>
      <w:r>
        <w:rPr>
          <w:rFonts w:ascii="Times New Roman" w:hAnsi="Times New Roman"/>
          <w:b/>
          <w:color w:val="0055B8"/>
        </w:rPr>
        <w:t>0,1%</w:t>
      </w:r>
      <w:r>
        <w:rPr>
          <w:rFonts w:ascii="Times New Roman" w:hAnsi="Times New Roman"/>
          <w:color w:val="000000"/>
        </w:rPr>
        <w:t xml:space="preserve"> стоимости просроченных работ, а Заказчик — </w:t>
      </w:r>
      <w:r>
        <w:rPr>
          <w:rFonts w:ascii="Times New Roman" w:hAnsi="Times New Roman"/>
          <w:b/>
          <w:color w:val="0055B8"/>
        </w:rPr>
        <w:t>0,1%</w:t>
      </w:r>
      <w:r>
        <w:rPr>
          <w:rFonts w:ascii="Times New Roman" w:hAnsi="Times New Roman"/>
          <w:color w:val="000000"/>
        </w:rPr>
        <w:t xml:space="preserve"> просроченной оплаты. Предел каждой неустойки — </w:t>
      </w:r>
      <w:r>
        <w:rPr>
          <w:rFonts w:ascii="Times New Roman" w:hAnsi="Times New Roman"/>
          <w:b/>
          <w:color w:val="0055B8"/>
        </w:rPr>
        <w:t>10%</w:t>
      </w:r>
      <w:r>
        <w:rPr>
          <w:rFonts w:ascii="Times New Roman" w:hAnsi="Times New Roman"/>
          <w:color w:val="000000"/>
        </w:rPr>
        <w:t xml:space="preserve"> соответствующей суммы. Убытки возмещаются в части, не покрытой неустойкой.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7.2. Договор прекращается по соглашению или основаниям закона. Заказчик вправе отказаться до сдачи результата; расчёты и предел возмещения убытков определяются статьёй 717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7.3. При прекращении Стороны фиксируют выполненные работы и расчёты. Подрядчик передаёт оплаченный результат и документацию, возвращает неотработанный аванс в течение </w:t>
      </w:r>
      <w:r>
        <w:rPr>
          <w:rFonts w:ascii="Times New Roman" w:hAnsi="Times New Roman"/>
          <w:b/>
          <w:color w:val="0055B8"/>
        </w:rPr>
        <w:t>10 рабочих дней</w:t>
      </w:r>
      <w:r>
        <w:rPr>
          <w:rFonts w:ascii="Times New Roman" w:hAnsi="Times New Roman"/>
          <w:color w:val="000000"/>
        </w:rPr>
        <w:t xml:space="preserve"> с даты прекращения с учётом законно причитающихся ему сумм. Спор не задерживает возврат неоспариваемой части.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8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8.1. Изменения подписываются Сторонами. Уведомления и претензии вручаются под подпись либо направляются подписанными на электронные адреса раздела 9 с подтверждением доставки.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8.2. Споры рассматриваются арбитражным судом по правилам подсудности после обязательного досудебного урегулирования. Применяется законодательство Российской Федерации.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8.3. Договор действует с подписания до исполнения обязательств, включая гарантийные. Составлен в двух экземплярах, включающих смету и календарный план, по одному каждой Стороне.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9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ЗАКАЗЧИК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ПОДРЯДЧИК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«Ромашка»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ОГРН: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1257700000001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7701000001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КПП: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770101001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«СтройСервис»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ОГРН: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1257700000002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7701000002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КПП: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770101001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</w:t>
              <w:br/>
              <w:t>ул. Образцовая, д. 1, офис 101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</w:t>
              <w:br/>
              <w:t>ул. Образцовая, д. 2, офис 201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Р/с: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40702810000000000001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БИК: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Р/с: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40702810000000000002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БИК: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romashka@example.com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stroyservis@example.com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Генеральный директор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Генеральный директор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И. И. Иванов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П. П. Петров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6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строительного подряда</dc:title>
  <dc:subject>Образец строительного подряда между юридическими лицами с техническим заданием, сметой и календарным планом</dc:subject>
  <dc:creator/>
  <cp:keywords>строительный подряд, капитальный ремонт кровли, смета, календарный план, образец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